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color w:val="110D10"/>
        </w:rPr>
        <w:t xml:space="preserve">Analiză Vertigo ↔ Dublin ↔ IRIS — Concluzii finale</w:t>
      </w:r>
    </w:p>
    <w:p>
      <w:pPr>
        <w:spacing w:after="220"/>
      </w:pPr>
      <w:r>
        <w:rPr>
          <w:i/>
          <w:iCs/>
          <w:color w:val="6B6560"/>
          <w:sz w:val="20"/>
          <w:szCs w:val="20"/>
        </w:rPr>
        <w:t xml:space="preserve">Rezumat practic · 25.08.2026 · consolidat din analiza A1–A3 + minuta dev + minuta BGN &amp; Prodi</w:t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Rezumat</w:t>
      </w:r>
    </w:p>
    <w:p>
      <w:pPr>
        <w:spacing w:after="120" w:line="270"/>
      </w:pPr>
      <w:r>
        <w:rPr>
          <w:sz w:val="22"/>
          <w:szCs w:val="22"/>
        </w:rPr>
        <w:t xml:space="preserve">Cadru: </w:t>
      </w:r>
      <w:r>
        <w:rPr>
          <w:b/>
          <w:bCs/>
          <w:sz w:val="22"/>
          <w:szCs w:val="22"/>
        </w:rPr>
        <w:t xml:space="preserve">SAGA</w:t>
      </w:r>
      <w:r>
        <w:rPr>
          <w:sz w:val="22"/>
          <w:szCs w:val="22"/>
        </w:rPr>
        <w:t xml:space="preserve"> = motor de calcul; </w:t>
      </w:r>
      <w:r>
        <w:rPr>
          <w:b/>
          <w:bCs/>
          <w:sz w:val="22"/>
          <w:szCs w:val="22"/>
        </w:rPr>
        <w:t xml:space="preserve">NUCLEU</w:t>
      </w:r>
      <w:r>
        <w:rPr>
          <w:sz w:val="22"/>
          <w:szCs w:val="22"/>
        </w:rPr>
        <w:t xml:space="preserve"> = system of record (prezent de la lansare); </w:t>
      </w:r>
      <w:r>
        <w:rPr>
          <w:b/>
          <w:bCs/>
          <w:sz w:val="22"/>
          <w:szCs w:val="22"/>
        </w:rPr>
        <w:t xml:space="preserve">IRIS</w:t>
      </w:r>
      <w:r>
        <w:rPr>
          <w:sz w:val="22"/>
          <w:szCs w:val="22"/>
        </w:rPr>
        <w:t xml:space="preserve"> = procesor de documente; </w:t>
      </w:r>
      <w:r>
        <w:rPr>
          <w:b/>
          <w:bCs/>
          <w:sz w:val="22"/>
          <w:szCs w:val="22"/>
        </w:rPr>
        <w:t xml:space="preserve">Dublin + Vertigo</w:t>
      </w:r>
      <w:r>
        <w:rPr>
          <w:sz w:val="22"/>
          <w:szCs w:val="22"/>
        </w:rPr>
        <w:t xml:space="preserve"> = shell-uri.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A1</w:t>
      </w:r>
      <w:r>
        <w:rPr>
          <w:sz w:val="22"/>
          <w:szCs w:val="22"/>
        </w:rPr>
        <w:t xml:space="preserve"> — fluxul documentului trece prin Nucleu (prezent de la lansare, system of record); Nucleul ține statusul documentelor; facturile emise stau în Nucleu.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A2</w:t>
      </w:r>
      <w:r>
        <w:rPr>
          <w:sz w:val="22"/>
          <w:szCs w:val="22"/>
        </w:rPr>
        <w:t xml:space="preserve"> — în Dublin afișăm documentele din Vertigo (Balanța de verificare, Registrul inventar, D112, D311, D100 etc.); Orice alt document poate fi dat clientului la cerere.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A3</w:t>
      </w:r>
      <w:r>
        <w:rPr>
          <w:sz w:val="22"/>
          <w:szCs w:val="22"/>
        </w:rPr>
        <w:t xml:space="preserve"> — reconcilierea plăților (facturi, taxe, salarii) se face lângă Nucleu, NU în IRIS; soldul taxelor = mini-registru finit (obligațiile de plată vin din SAGA – plățile vin IRIS).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Scope MVP (BGN &amp; Prodi)</w:t>
      </w:r>
      <w:r>
        <w:rPr>
          <w:sz w:val="22"/>
          <w:szCs w:val="22"/>
        </w:rPr>
        <w:t xml:space="preserve"> — fără useri/roluri per firmă, fără multi-firmă, chat = aplicație CS externă în MVP, nu Vox.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A1 — Fluxul documentului client → notă contabilă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Nucleul e prezent de la lansarea soluției</w:t>
      </w:r>
      <w:r>
        <w:rPr>
          <w:sz w:val="22"/>
          <w:szCs w:val="22"/>
        </w:rPr>
        <w:t xml:space="preserve"> (system of record). Documentele intră în Nucleu cu status pe fiecare (</w:t>
      </w:r>
      <w:r>
        <w:rPr>
          <w:b/>
          <w:bCs/>
          <w:sz w:val="22"/>
          <w:szCs w:val="22"/>
        </w:rPr>
        <w:t xml:space="preserve">neprocesat, primit, în lucru, respins + motiv</w:t>
      </w:r>
      <w:r>
        <w:rPr>
          <w:sz w:val="22"/>
          <w:szCs w:val="22"/>
        </w:rPr>
        <w:t xml:space="preserve">); Nucleul le trimite la IRIS și primește nota contabilă înapoi. </w:t>
      </w:r>
      <w:r>
        <w:rPr>
          <w:b/>
          <w:bCs/>
          <w:sz w:val="22"/>
          <w:szCs w:val="22"/>
        </w:rPr>
        <w:t xml:space="preserve">Dublin și Vertigo (shell-uri) citesc din Nucleu.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Facturile emise: baza de date stă în NUCLEU</w:t>
      </w:r>
      <w:r>
        <w:rPr>
          <w:sz w:val="22"/>
          <w:szCs w:val="22"/>
        </w:rPr>
        <w:t xml:space="preserve"> (nu în modulul de facturare). Factură externă (ex. Smartbill) → clientul o urcă în Dublin → </w:t>
      </w:r>
      <w:r>
        <w:rPr>
          <w:b/>
          <w:bCs/>
          <w:sz w:val="22"/>
          <w:szCs w:val="22"/>
        </w:rPr>
        <w:t xml:space="preserve">IRIS o identifică drept factură de venit</w:t>
      </w:r>
      <w:r>
        <w:rPr>
          <w:sz w:val="22"/>
          <w:szCs w:val="22"/>
        </w:rPr>
        <w:t xml:space="preserve"> → stocată în Nucleu.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A2 — Documentele contabile afișate în Dublin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În Dublin și Vertigo afișăm doar </w:t>
      </w:r>
      <w:r>
        <w:rPr>
          <w:b/>
          <w:bCs/>
          <w:sz w:val="22"/>
          <w:szCs w:val="22"/>
        </w:rPr>
        <w:t xml:space="preserve">documentele importante</w:t>
      </w:r>
      <w:r>
        <w:rPr>
          <w:sz w:val="22"/>
          <w:szCs w:val="22"/>
        </w:rPr>
        <w:t xml:space="preserve">; pachetul complet (fișe de cont, documente intermediare) abia când le generează </w:t>
      </w:r>
      <w:r>
        <w:rPr>
          <w:b/>
          <w:bCs/>
          <w:sz w:val="22"/>
          <w:szCs w:val="22"/>
        </w:rPr>
        <w:t xml:space="preserve">motorul contabil Bono</w:t>
      </w:r>
      <w:r>
        <w:rPr>
          <w:sz w:val="22"/>
          <w:szCs w:val="22"/>
        </w:rPr>
        <w:t xml:space="preserve"> (V2). Orice document dorit de client — la cerere.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Propunerea documente de afișat în Dublin = documentele din Vertigo:</w:t>
      </w:r>
      <w:r>
        <w:rPr>
          <w:sz w:val="22"/>
          <w:szCs w:val="22"/>
        </w:rPr>
        <w:t xml:space="preserve"> Balanța de verificare, Registrul inventar, D112, D311, D100 (lunar), D301 CUI, D301 VIES, D390, D100 (trimestrial), D406 SAF-T, Bilanț (S1120), D101, Bilanț anual, SAF-T anual, D205.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Fișa MF → V2.</w:t>
      </w:r>
      <w:r>
        <w:rPr>
          <w:sz w:val="22"/>
          <w:szCs w:val="22"/>
        </w:rPr>
        <w:t xml:space="preserve"> Fișa Mijlocului Fix (MF) locuiește în SAGA (actualizată lunar). Inițiere MF nou: IRIS oferă UI de adăugare → Vertigo (calcul % deductibilitate) → SAGA ține/actualizează fișa.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A3 — Reconciliere plăți + urmărirea taxelor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Reconcilierea facturilor</w:t>
      </w:r>
      <w:r>
        <w:rPr>
          <w:sz w:val="22"/>
          <w:szCs w:val="22"/>
        </w:rPr>
        <w:t xml:space="preserve"> (venituri/cheltuieli ↔ plăți) se face </w:t>
      </w:r>
      <w:r>
        <w:rPr>
          <w:b/>
          <w:bCs/>
          <w:sz w:val="22"/>
          <w:szCs w:val="22"/>
        </w:rPr>
        <w:t xml:space="preserve">lângă NUCLEU, nu în IRIS</w:t>
      </w:r>
      <w:r>
        <w:rPr>
          <w:sz w:val="22"/>
          <w:szCs w:val="22"/>
        </w:rPr>
        <w:t xml:space="preserve"> — facturile pot fi anulate/modificate. De confirmat fezabilitatea până la </w:t>
      </w:r>
      <w:r>
        <w:rPr>
          <w:b/>
          <w:bCs/>
          <w:sz w:val="22"/>
          <w:szCs w:val="22"/>
        </w:rPr>
        <w:t xml:space="preserve">1 octombrie</w:t>
      </w:r>
      <w:r>
        <w:rPr>
          <w:sz w:val="22"/>
          <w:szCs w:val="22"/>
        </w:rPr>
        <w:t xml:space="preserve"> (MVP).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Evidența impozitelor:</w:t>
      </w:r>
      <w:r>
        <w:rPr>
          <w:sz w:val="22"/>
          <w:szCs w:val="22"/>
        </w:rPr>
        <w:t xml:space="preserve"> modul de reconcilieri și pentru plata taxelor. Soldul = </w:t>
      </w:r>
      <w:r>
        <w:rPr>
          <w:b/>
          <w:bCs/>
          <w:sz w:val="22"/>
          <w:szCs w:val="22"/>
        </w:rPr>
        <w:t xml:space="preserve">mini-registru finit de conturi</w:t>
      </w:r>
      <w:r>
        <w:rPr>
          <w:sz w:val="22"/>
          <w:szCs w:val="22"/>
        </w:rPr>
        <w:t xml:space="preserve"> (impozit venit/profit/dividende, taxe salariale): sold = Σ(obligații SAGA) − Σ(plăți IRIS). Bono </w:t>
      </w:r>
      <w:r>
        <w:rPr>
          <w:b/>
          <w:bCs/>
          <w:sz w:val="22"/>
          <w:szCs w:val="22"/>
        </w:rPr>
        <w:t xml:space="preserve">nu calculează</w:t>
      </w:r>
      <w:r>
        <w:rPr>
          <w:sz w:val="22"/>
          <w:szCs w:val="22"/>
        </w:rPr>
        <w:t xml:space="preserve"> taxa; verificare periodică vs. SAGA.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Idee nouă (to do Cristi: Analiza):</w:t>
      </w:r>
      <w:r>
        <w:rPr>
          <w:sz w:val="22"/>
          <w:szCs w:val="22"/>
        </w:rPr>
        <w:t xml:space="preserve"> buton „</w:t>
      </w:r>
      <w:r>
        <w:rPr>
          <w:b/>
          <w:bCs/>
          <w:sz w:val="22"/>
          <w:szCs w:val="22"/>
        </w:rPr>
        <w:t xml:space="preserve">Plătește taxele</w:t>
      </w:r>
      <w:r>
        <w:rPr>
          <w:sz w:val="22"/>
          <w:szCs w:val="22"/>
        </w:rPr>
        <w:t xml:space="preserve">" în Dublin (card → ANAF). Legal check (ConsAudit, plăți în masă în numele mai multor firme) + tehnic (similar taxă ONRC).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Salarii + contribuții:</w:t>
      </w:r>
      <w:r>
        <w:rPr>
          <w:sz w:val="22"/>
          <w:szCs w:val="22"/>
        </w:rPr>
        <w:t xml:space="preserve"> reconciliate în </w:t>
      </w:r>
      <w:r>
        <w:rPr>
          <w:b/>
          <w:bCs/>
          <w:sz w:val="22"/>
          <w:szCs w:val="22"/>
        </w:rPr>
        <w:t xml:space="preserve">același modul</w:t>
      </w:r>
      <w:r>
        <w:rPr>
          <w:sz w:val="22"/>
          <w:szCs w:val="22"/>
        </w:rPr>
        <w:t xml:space="preserve"> (salariu/angajat după IBAN — calculele vin din SalarEasy; plățile vin din IRIS; contribuțiile sunt urmărite bulk = „rest de plată agregat per angajat").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Scope MVP Dublin (decizii BGN &amp; Prodi)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Fără concept de useri per companie</w:t>
      </w:r>
      <w:r>
        <w:rPr>
          <w:sz w:val="22"/>
          <w:szCs w:val="22"/>
        </w:rPr>
        <w:t xml:space="preserve"> în MVP.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Fără multi-firmă</w:t>
      </w:r>
      <w:r>
        <w:rPr>
          <w:sz w:val="22"/>
          <w:szCs w:val="22"/>
        </w:rPr>
        <w:t xml:space="preserve"> — un cont = o firmă; switcher-ul se face la primul client cu cerința.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Chat în Dublin = aplicație CS existentă</w:t>
      </w:r>
      <w:r>
        <w:rPr>
          <w:sz w:val="22"/>
          <w:szCs w:val="22"/>
        </w:rPr>
        <w:t xml:space="preserve"> (ex. Helpscout), NU Vox.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V2</w:t>
      </w:r>
      <w:r>
        <w:rPr>
          <w:sz w:val="22"/>
          <w:szCs w:val="22"/>
        </w:rPr>
        <w:t xml:space="preserve"> (feed live, Vox/Chat, „De făcut" din dreapta): se face PRD separat, apoi se decide ce intră în MVP.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To Do UI Vertigo — pentru a fi sincronizat cu cerințele lui Dublin</w:t>
      </w:r>
    </w:p>
    <w:p>
      <w:pPr>
        <w:spacing w:after="80" w:before="200"/>
      </w:pPr>
      <w:r>
        <w:rPr>
          <w:b/>
          <w:bCs/>
          <w:color w:val="110D10"/>
          <w:sz w:val="23"/>
          <w:szCs w:val="23"/>
        </w:rPr>
        <w:t xml:space="preserve">B1 — Statusul de procesare al documentelor în Vertigo</w:t>
      </w:r>
    </w:p>
    <w:p>
      <w:pPr>
        <w:spacing w:after="120" w:line="270"/>
      </w:pPr>
      <w:r>
        <w:rPr>
          <w:sz w:val="22"/>
          <w:szCs w:val="22"/>
        </w:rPr>
        <w:t xml:space="preserve">În Vertigo fiecare document trebuie să aibă un status de procesare (neprocesat, primit, în lucru, respins + motiv — plus „finalizat" când nota s-a întors).</w:t>
      </w:r>
    </w:p>
    <w:p>
      <w:pPr>
        <w:spacing w:after="80" w:before="200"/>
      </w:pPr>
      <w:r>
        <w:rPr>
          <w:b/>
          <w:bCs/>
          <w:color w:val="110D10"/>
          <w:sz w:val="23"/>
          <w:szCs w:val="23"/>
        </w:rPr>
        <w:t xml:space="preserve">B5 — Alinierea UI-ului cu Dublin: categoria contabilă și deductibilitatea</w:t>
      </w:r>
    </w:p>
    <w:p>
      <w:pPr>
        <w:spacing w:after="120" w:line="270"/>
      </w:pPr>
      <w:r>
        <w:rPr>
          <w:sz w:val="22"/>
          <w:szCs w:val="22"/>
        </w:rPr>
        <w:t xml:space="preserve">În Documente primite, Vertigo afișează per document categoria contabilă și deductibilitatea — aliniat cu ce vede clientul în Dublin.</w:t>
      </w:r>
    </w:p>
    <w:p>
      <w:pPr>
        <w:pBdr>
          <w:bottom w:val="single" w:color="DDD8D0" w:sz="6" w:space="6"/>
        </w:pBdr>
        <w:spacing w:after="120" w:before="60"/>
      </w:pPr>
      <w:r>
        <w:rPr>
          <w:sz w:val="2"/>
          <w:szCs w:val="2"/>
        </w:rPr>
        <w:t xml:space="preserve"/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Corecturi în PRD Vertigo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§12 (Salarizare):</w:t>
      </w:r>
      <w:r>
        <w:rPr>
          <w:sz w:val="22"/>
          <w:szCs w:val="22"/>
        </w:rPr>
        <w:t xml:space="preserve"> plata salariilor + a taxelor salariale intră în MVP (erau marcate V2).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§9.4 (Vehicule/MF):</w:t>
      </w:r>
      <w:r>
        <w:rPr>
          <w:sz w:val="22"/>
          <w:szCs w:val="22"/>
        </w:rPr>
        <w:t xml:space="preserve"> fișa MF este ținută în SAGA. În Vertigo totuși ținem o fișă MF simplificată cu informațiile din prototip. Aceste info vin din IRIS și ne ajută la calcularea deductibilității. Autoturismele au o fișă cu mai multe informații decât restul mijloacelor fixe (ca în prototip).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§10 (Contabilitate):</w:t>
      </w:r>
      <w:r>
        <w:rPr>
          <w:sz w:val="22"/>
          <w:szCs w:val="22"/>
        </w:rPr>
        <w:t xml:space="preserve"> fluxul documentelor prin Nucleu + facturile emise în Nucleu.</w:t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Decizii deschise / To do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Documentele prevăzute de IRIS ca fiind „în așteptare" + goluri de context. </w:t>
      </w:r>
      <w:r>
        <w:rPr>
          <w:b/>
          <w:bCs/>
          <w:sz w:val="22"/>
          <w:szCs w:val="22"/>
        </w:rPr>
        <w:t xml:space="preserve">Cum se deblochează aceste documente?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Un document poate produce </w:t>
      </w:r>
      <w:r>
        <w:rPr>
          <w:b/>
          <w:bCs/>
          <w:sz w:val="22"/>
          <w:szCs w:val="22"/>
        </w:rPr>
        <w:t xml:space="preserve">mai multe înregistrări contabile</w:t>
      </w:r>
      <w:r>
        <w:rPr>
          <w:sz w:val="22"/>
          <w:szCs w:val="22"/>
        </w:rPr>
        <w:t xml:space="preserve">, având mai multe linii/tranzacții. </w:t>
      </w:r>
      <w:r>
        <w:rPr>
          <w:b/>
          <w:bCs/>
          <w:sz w:val="22"/>
          <w:szCs w:val="22"/>
        </w:rPr>
        <w:t xml:space="preserve">Propunere (Cristi):</w:t>
      </w:r>
      <w:r>
        <w:rPr>
          <w:sz w:val="22"/>
          <w:szCs w:val="22"/>
        </w:rPr>
        <w:t xml:space="preserve"> facem o singură </w:t>
      </w:r>
      <w:r>
        <w:rPr>
          <w:b/>
          <w:bCs/>
          <w:sz w:val="22"/>
          <w:szCs w:val="22"/>
        </w:rPr>
        <w:t xml:space="preserve">notă contabilă vizuală (PDF)</w:t>
      </w:r>
      <w:r>
        <w:rPr>
          <w:sz w:val="22"/>
          <w:szCs w:val="22"/>
        </w:rPr>
        <w:t xml:space="preserve"> aferentă documentului, pe care o afișăm în Vertigo, în care listăm agregat liniile/notele contabile individuale ale fiecărei tranzacții.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Pentru IRIS: ce facem cu documentele </w:t>
      </w:r>
      <w:r>
        <w:rPr>
          <w:b/>
          <w:bCs/>
          <w:sz w:val="22"/>
          <w:szCs w:val="22"/>
        </w:rPr>
        <w:t xml:space="preserve">altele decât facturi/bonuri/extras de cont</w:t>
      </w:r>
      <w:r>
        <w:rPr>
          <w:sz w:val="22"/>
          <w:szCs w:val="22"/>
        </w:rPr>
        <w:t xml:space="preserve">? Clientul ne dă un contract sau un proces verbal... ajunge în IRIS? Îl folosim în vreun fel?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b/>
          <w:bCs/>
          <w:sz w:val="22"/>
          <w:szCs w:val="22"/>
        </w:rPr>
        <w:t xml:space="preserve">Regim_Auto:</w:t>
      </w:r>
      <w:r>
        <w:rPr>
          <w:sz w:val="22"/>
          <w:szCs w:val="22"/>
        </w:rPr>
        <w:t xml:space="preserve"> IRIS îl cere per firmă (fără/mixt/100%), dar în Vertigo deductibilitatea se calculează </w:t>
      </w:r>
      <w:r>
        <w:rPr>
          <w:b/>
          <w:bCs/>
          <w:sz w:val="22"/>
          <w:szCs w:val="22"/>
        </w:rPr>
        <w:t xml:space="preserve">per vehicul</w:t>
      </w:r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Propunere (Cristi):</w:t>
      </w:r>
      <w:r>
        <w:rPr>
          <w:sz w:val="22"/>
          <w:szCs w:val="22"/>
        </w:rPr>
        <w:t xml:space="preserve"> Vertigo îi dă lui IRIS </w:t>
      </w:r>
      <w:r>
        <w:rPr>
          <w:b/>
          <w:bCs/>
          <w:sz w:val="22"/>
          <w:szCs w:val="22"/>
        </w:rPr>
        <w:t xml:space="preserve">deductibilitatea per vehicul</w:t>
      </w:r>
      <w:r>
        <w:rPr>
          <w:sz w:val="22"/>
          <w:szCs w:val="22"/>
        </w:rPr>
        <w:t xml:space="preserve"> (lista vehiculelor cu procentul fiecăruia, în contextul clientului).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Facturile emise de client: le trecem prin IRIS vs. TAC automat — </w:t>
      </w:r>
      <w:r>
        <w:rPr>
          <w:b/>
          <w:bCs/>
          <w:sz w:val="22"/>
          <w:szCs w:val="22"/>
        </w:rPr>
        <w:t xml:space="preserve">conversație separată</w:t>
      </w:r>
      <w:r>
        <w:rPr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Preseturile din descriere factură nu sunt corelate cu CAEN principal — de investigat cu </w:t>
      </w:r>
      <w:r>
        <w:rPr>
          <w:b/>
          <w:bCs/>
          <w:sz w:val="22"/>
          <w:szCs w:val="22"/>
        </w:rPr>
        <w:t xml:space="preserve">Otilia/Raluca</w:t>
      </w:r>
      <w:r>
        <w:rPr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Buton „Plătește taxele" — legal + tehnic.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Reconciliere facturi până la </w:t>
      </w:r>
      <w:r>
        <w:rPr>
          <w:b/>
          <w:bCs/>
          <w:sz w:val="22"/>
          <w:szCs w:val="22"/>
        </w:rPr>
        <w:t xml:space="preserve">1 octombrie</w:t>
      </w:r>
      <w:r>
        <w:rPr>
          <w:sz w:val="22"/>
          <w:szCs w:val="22"/>
        </w:rPr>
        <w:t xml:space="preserve"> (MVP)?</w:t>
      </w:r>
    </w:p>
    <w:p>
      <w:pPr>
        <w:spacing w:after="110" w:before="300"/>
      </w:pPr>
      <w:r>
        <w:rPr>
          <w:b/>
          <w:bCs/>
          <w:color w:val="C9255B"/>
          <w:sz w:val="26"/>
          <w:szCs w:val="26"/>
        </w:rPr>
        <w:t xml:space="preserve">Referințe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PRD Dublin — dublin.bgn.ro/dublin-prd.html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PRD IRIS + Atribute + Model canonic de date — iris.bgn.ro/prd, /atribute, /modele-date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PRD Vertigo V2 (intern)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Minuta cu echipa de dev · 25.08.2026</w:t>
      </w:r>
    </w:p>
    <w:p>
      <w:pPr>
        <w:pStyle w:val="ListParagraph"/>
        <w:numPr>
          <w:ilvl w:val="0"/>
          <w:numId w:val="2"/>
        </w:numPr>
        <w:spacing w:after="64" w:line="262"/>
      </w:pPr>
      <w:r>
        <w:rPr>
          <w:sz w:val="22"/>
          <w:szCs w:val="22"/>
        </w:rPr>
        <w:t xml:space="preserve">Minuta cu BGN &amp; Prodi · 25.08.2026</w:t>
      </w:r>
    </w:p>
    <w:sectPr>
      <w:pgSz w:w="11906" w:h="16838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1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0D1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2026-08-31T09:02:26.059Z</dcterms:created>
  <dcterms:modified xsi:type="dcterms:W3CDTF">2026-08-31T09:02:26.059Z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